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outlineLvl w:val="0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0"/>
        <w:rPr>
          <w:spacing w:val="-11"/>
          <w:sz w:val="20"/>
          <w:szCs w:val="21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-11"/>
          <w:sz w:val="32"/>
          <w:szCs w:val="32"/>
          <w:lang w:eastAsia="zh-CN"/>
        </w:rPr>
        <w:t>《新建西安至重庆高速铁路安康至重庆段（四川段）工程建设项目压覆已查明重要矿产资源评估报告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-11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-11"/>
          <w:sz w:val="32"/>
          <w:szCs w:val="32"/>
        </w:rPr>
        <w:t>》矿产资源储量评审备案公示信息表</w:t>
      </w:r>
    </w:p>
    <w:tbl>
      <w:tblPr>
        <w:tblStyle w:val="8"/>
        <w:tblW w:w="9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0"/>
        <w:gridCol w:w="8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申请人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京昆高速铁路西昆有限公司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报告名称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240" w:lineRule="auto"/>
              <w:ind w:left="0" w:right="0" w:rightChars="0" w:firstLine="420" w:firstLineChars="200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《新建西安至重庆高速铁路安康至重庆段（四川段）工程建设项目压覆已查明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240" w:lineRule="auto"/>
              <w:ind w:left="0" w:right="0" w:rightChars="0" w:firstLine="420" w:firstLineChars="200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重要矿产资源评估报告》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报告编制单位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四川省地质工程勘察院集团有限公司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主要编写人员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李  飞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ab/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肖  军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ab/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杨天才</w:t>
            </w:r>
            <w:r>
              <w:rPr>
                <w:rFonts w:hint="eastAsia" w:cs="Times New Roman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矿业权证号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矿业权人名称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评审机构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四川省矿产资源储量评审中心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评审专家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ab/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冉孟云  刘图强  赖贤友  李永建  秦岩宾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本次采用工业指标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/工程压覆影响范围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 w:rightChars="0" w:firstLine="420" w:firstLineChars="200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围护带宽度为50m（有用地红线地段从用地红线起算，隧道及辅助坑道从外廓线加1m起算）；影响深度：沿边界角推至不再扩展深度后垂直向下无限深（按下表深度不再按边界角向外扩展），隧道上方沿边界角推至地表。压覆影响范围由工程围护带范围、岩层移动边界角参数、工程下部影响范围及隧道拱顶上部影响范围确定。评估区岩层边界角、不再向外扩展深度及里程桩号见下表。</w:t>
            </w:r>
          </w:p>
          <w:tbl>
            <w:tblPr>
              <w:tblStyle w:val="8"/>
              <w:tblW w:w="0" w:type="auto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48"/>
              <w:gridCol w:w="1414"/>
              <w:gridCol w:w="1281"/>
              <w:gridCol w:w="1449"/>
              <w:gridCol w:w="2104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07" w:hRule="exact"/>
                <w:jc w:val="center"/>
              </w:trPr>
              <w:tc>
                <w:tcPr>
                  <w:tcW w:w="1348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_GB2312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里</w:t>
                  </w:r>
                  <w:r>
                    <w:rPr>
                      <w:rStyle w:val="12"/>
                      <w:rFonts w:hint="default" w:ascii="Times New Roman" w:hAnsi="Times New Roman" w:eastAsia="仿宋_GB2312" w:cs="Times New Roman"/>
                      <w:sz w:val="18"/>
                      <w:szCs w:val="18"/>
                      <w:lang w:val="en-US" w:eastAsia="zh-CN" w:bidi="ar"/>
                    </w:rPr>
                    <w:t xml:space="preserve">  程  桩  号</w:t>
                  </w:r>
                </w:p>
              </w:tc>
              <w:tc>
                <w:tcPr>
                  <w:tcW w:w="1414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_GB2312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走向边界角</w:t>
                  </w:r>
                  <w:r>
                    <w:rPr>
                      <w:rStyle w:val="13"/>
                      <w:rFonts w:hint="default" w:ascii="Times New Roman" w:hAnsi="Times New Roman" w:eastAsia="仿宋_GB2312" w:cs="Times New Roman"/>
                      <w:sz w:val="18"/>
                      <w:szCs w:val="18"/>
                      <w:lang w:val="en-US" w:eastAsia="zh-CN" w:bidi="ar"/>
                    </w:rPr>
                    <w:t>δ（°）</w:t>
                  </w:r>
                </w:p>
              </w:tc>
              <w:tc>
                <w:tcPr>
                  <w:tcW w:w="1281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_GB2312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上山边界角</w:t>
                  </w:r>
                  <w:r>
                    <w:rPr>
                      <w:rStyle w:val="13"/>
                      <w:rFonts w:hint="default" w:ascii="Times New Roman" w:hAnsi="Times New Roman" w:eastAsia="仿宋_GB2312" w:cs="Times New Roman"/>
                      <w:sz w:val="18"/>
                      <w:szCs w:val="18"/>
                      <w:lang w:val="en-US" w:eastAsia="zh-CN" w:bidi="ar"/>
                    </w:rPr>
                    <w:t>γ（°</w:t>
                  </w:r>
                  <w:r>
                    <w:rPr>
                      <w:rStyle w:val="15"/>
                      <w:rFonts w:hint="default" w:ascii="Times New Roman" w:hAnsi="Times New Roman" w:eastAsia="仿宋_GB2312" w:cs="Times New Roman"/>
                      <w:sz w:val="18"/>
                      <w:szCs w:val="18"/>
                      <w:lang w:val="en-US" w:eastAsia="zh-CN" w:bidi="ar"/>
                    </w:rPr>
                    <w:t>）</w:t>
                  </w:r>
                </w:p>
              </w:tc>
              <w:tc>
                <w:tcPr>
                  <w:tcW w:w="1449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_GB2312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下山边界角</w:t>
                  </w:r>
                  <w:r>
                    <w:rPr>
                      <w:rStyle w:val="13"/>
                      <w:rFonts w:hint="default" w:ascii="Times New Roman" w:hAnsi="Times New Roman" w:eastAsia="仿宋_GB2312" w:cs="Times New Roman"/>
                      <w:sz w:val="18"/>
                      <w:szCs w:val="18"/>
                      <w:lang w:val="en-US" w:eastAsia="zh-CN" w:bidi="ar"/>
                    </w:rPr>
                    <w:t>β（°</w:t>
                  </w:r>
                  <w:r>
                    <w:rPr>
                      <w:rStyle w:val="15"/>
                      <w:rFonts w:hint="default" w:ascii="Times New Roman" w:hAnsi="Times New Roman" w:eastAsia="仿宋_GB2312" w:cs="Times New Roman"/>
                      <w:sz w:val="18"/>
                      <w:szCs w:val="18"/>
                      <w:lang w:val="en-US" w:eastAsia="zh-CN" w:bidi="ar"/>
                    </w:rPr>
                    <w:t>）</w:t>
                  </w:r>
                </w:p>
              </w:tc>
              <w:tc>
                <w:tcPr>
                  <w:tcW w:w="2104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_GB2312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不再向外扩展深度（</w:t>
                  </w:r>
                  <w:r>
                    <w:rPr>
                      <w:rStyle w:val="13"/>
                      <w:rFonts w:hint="default" w:ascii="Times New Roman" w:hAnsi="Times New Roman" w:eastAsia="仿宋_GB2312" w:cs="Times New Roman"/>
                      <w:sz w:val="18"/>
                      <w:szCs w:val="18"/>
                      <w:lang w:val="en-US" w:eastAsia="zh-CN" w:bidi="ar"/>
                    </w:rPr>
                    <w:t>m）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_GB2312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及里程桩号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10" w:hRule="exact"/>
                <w:jc w:val="center"/>
              </w:trPr>
              <w:tc>
                <w:tcPr>
                  <w:tcW w:w="134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DK127+650～DK156+500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51</w:t>
                  </w:r>
                </w:p>
              </w:tc>
              <w:tc>
                <w:tcPr>
                  <w:tcW w:w="1449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34</w:t>
                  </w:r>
                </w:p>
              </w:tc>
              <w:tc>
                <w:tcPr>
                  <w:tcW w:w="2104" w:type="dxa"/>
                  <w:vMerge w:val="restart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680（DK127+650～DK155+000）</w:t>
                  </w: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750（DK155+000～DK321+000、WD2K0+411.4765～WD2K20+438、</w:t>
                  </w: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CLZDK0+000～CLZDK2+859.458、CLYDK0+000～ CLYDK2+860.347）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59" w:hRule="exact"/>
                <w:jc w:val="center"/>
              </w:trPr>
              <w:tc>
                <w:tcPr>
                  <w:tcW w:w="134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DK156+500～DK210+000、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Style w:val="16"/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  <w:lang w:val="en-US" w:eastAsia="zh-CN" w:bidi="ar"/>
                    </w:rPr>
                    <w:t>W</w:t>
                  </w:r>
                  <w:r>
                    <w:rPr>
                      <w:rStyle w:val="17"/>
                      <w:rFonts w:hint="default" w:ascii="Times New Roman" w:hAnsi="Times New Roman" w:eastAsia="仿宋" w:cs="Times New Roman"/>
                      <w:color w:val="auto"/>
                      <w:sz w:val="18"/>
                      <w:szCs w:val="18"/>
                      <w:lang w:val="en-US" w:eastAsia="zh-CN" w:bidi="ar"/>
                    </w:rPr>
                    <w:t>D</w:t>
                  </w:r>
                  <w:r>
                    <w:rPr>
                      <w:rStyle w:val="17"/>
                      <w:rFonts w:hint="default" w:ascii="Times New Roman" w:hAnsi="Times New Roman" w:eastAsia="仿宋" w:cs="Times New Roman"/>
                      <w:sz w:val="18"/>
                      <w:szCs w:val="18"/>
                      <w:lang w:val="en-US" w:eastAsia="zh-CN" w:bidi="ar"/>
                    </w:rPr>
                    <w:t>2K0+411.4765～WD2K20+438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55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56</w:t>
                  </w:r>
                </w:p>
              </w:tc>
              <w:tc>
                <w:tcPr>
                  <w:tcW w:w="1449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35</w:t>
                  </w:r>
                </w:p>
              </w:tc>
              <w:tc>
                <w:tcPr>
                  <w:tcW w:w="2104" w:type="dxa"/>
                  <w:vMerge w:val="continue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17" w:hRule="exact"/>
                <w:jc w:val="center"/>
              </w:trPr>
              <w:tc>
                <w:tcPr>
                  <w:tcW w:w="134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DK210+000～DK242+000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55</w:t>
                  </w:r>
                </w:p>
              </w:tc>
              <w:tc>
                <w:tcPr>
                  <w:tcW w:w="1449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32</w:t>
                  </w:r>
                </w:p>
              </w:tc>
              <w:tc>
                <w:tcPr>
                  <w:tcW w:w="2104" w:type="dxa"/>
                  <w:vMerge w:val="continue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46" w:hRule="exact"/>
                <w:jc w:val="center"/>
              </w:trPr>
              <w:tc>
                <w:tcPr>
                  <w:tcW w:w="134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DK242+000～DK316+000、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CLZDK0+000～CLZDK2+859.458、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CLYDK0+000～ CLYDK2+860.347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54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52</w:t>
                  </w:r>
                </w:p>
              </w:tc>
              <w:tc>
                <w:tcPr>
                  <w:tcW w:w="1449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37</w:t>
                  </w:r>
                </w:p>
              </w:tc>
              <w:tc>
                <w:tcPr>
                  <w:tcW w:w="2104" w:type="dxa"/>
                  <w:vMerge w:val="continue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16" w:hRule="exact"/>
                <w:jc w:val="center"/>
              </w:trPr>
              <w:tc>
                <w:tcPr>
                  <w:tcW w:w="134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DK316+000～DK321+000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51</w:t>
                  </w:r>
                </w:p>
              </w:tc>
              <w:tc>
                <w:tcPr>
                  <w:tcW w:w="1449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33</w:t>
                  </w:r>
                </w:p>
              </w:tc>
              <w:tc>
                <w:tcPr>
                  <w:tcW w:w="2104" w:type="dxa"/>
                  <w:vMerge w:val="continue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85" w:hRule="exact"/>
                <w:jc w:val="center"/>
              </w:trPr>
              <w:tc>
                <w:tcPr>
                  <w:tcW w:w="134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DK321+000～DK324+000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60</w:t>
                  </w:r>
                </w:p>
              </w:tc>
              <w:tc>
                <w:tcPr>
                  <w:tcW w:w="1449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39</w:t>
                  </w:r>
                </w:p>
              </w:tc>
              <w:tc>
                <w:tcPr>
                  <w:tcW w:w="210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680（DK321+000～DK324+000）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279" w:hRule="exact"/>
                <w:jc w:val="center"/>
              </w:trPr>
              <w:tc>
                <w:tcPr>
                  <w:tcW w:w="1348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DK324+000～DK394+870、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DK396+236～DK396+461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55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55</w:t>
                  </w:r>
                </w:p>
              </w:tc>
              <w:tc>
                <w:tcPr>
                  <w:tcW w:w="1449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35</w:t>
                  </w:r>
                </w:p>
              </w:tc>
              <w:tc>
                <w:tcPr>
                  <w:tcW w:w="2104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tcMar>
                    <w:top w:w="0" w:type="dxa"/>
                    <w:left w:w="17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default" w:ascii="Times New Roman" w:hAnsi="Times New Roman" w:eastAsia="仿宋" w:cs="Times New Roman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750（DK324+000～DK394+870、DK396+236～DK396+461）</w:t>
                  </w:r>
                </w:p>
              </w:tc>
            </w:tr>
          </w:tbl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420" w:firstLineChars="200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评审备案目的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建设项目压覆重要矿产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评审备案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种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名称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4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评审备案资源储量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 w:rightChars="0" w:firstLine="420" w:firstLineChars="200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评审评定，新建西安至重庆高速铁路安康至重庆段（四川段）工程建设项目压覆各矿产地、矿业权的资源量为：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 w:rightChars="0" w:firstLine="420" w:firstLineChars="200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（一）矿产地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 w:rightChars="0" w:firstLine="420" w:firstLineChars="200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1.渠县龙门峡北井田：煤炭推断资源量51.0万吨；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 w:rightChars="0" w:firstLine="420" w:firstLineChars="200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2.达县井田：煤炭控制资源量19.8万吨；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 w:rightChars="0" w:firstLine="420" w:firstLineChars="200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3.大竹县城西井田：煤炭控制资源量1.4万吨、推断资源量29.2万吨，合计30.6万吨；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 w:rightChars="0" w:firstLine="420" w:firstLineChars="200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4.宣汉县炉厂坪井田：煤炭推断资源量35.3万吨。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 w:rightChars="0" w:firstLine="420" w:firstLineChars="200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(二)采矿权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 w:rightChars="0" w:firstLine="420" w:firstLineChars="200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1.大竹县清水大河沟煤矿：煤炭控制资源量26.9万吨、推断资源量1.9万吨，合计28.8万吨；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 w:rightChars="0" w:firstLine="420" w:firstLineChars="200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2.渠县通达琅琊煤业有限公司琅琊煤矿：煤炭控制资源量3.2万吨、推断资源量4.6万吨，合计7.8万吨；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 w:rightChars="0" w:firstLine="420" w:firstLineChars="200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3.四川省煤炭产业集团有限责任公司龙门峡北煤矿：煤炭控制资源量167.1万吨，推断资源量124.5万吨，合计291.6万吨；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 w:rightChars="0" w:firstLine="420" w:firstLineChars="200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4.四川达竹煤电（集团）有限责任公司（小河嘴煤矿）：采矿权平面内标高内煤炭探明资源量1.3万吨、控制资源量116.6万吨、推断资源量67.5万吨（其中，Ad＞40%的14煤层4.9万吨），合计185.4万吨；采矿权平面内标高外煤炭推断资源量15.8万吨。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 w:rightChars="0" w:firstLine="420" w:firstLineChars="200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（三）探矿权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 w:rightChars="0" w:firstLine="420" w:firstLineChars="200"/>
              <w:jc w:val="left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四川省达川区斌郎井田斌郎煤矿延深勘探</w:t>
            </w:r>
            <w:r>
              <w:rPr>
                <w:rFonts w:hint="eastAsia" w:ascii="Times New Roman" w:hAnsi="Times New Roman" w:eastAsia="宋体" w:cs="Times New Roman"/>
                <w:lang w:val="zh-CN" w:eastAsia="zh-CN"/>
              </w:rPr>
              <w:t>：煤炭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探明资源量64.2万吨，控制资源量87.6万吨，推断资源量164.7万吨，合计316.5万吨（其中，现探矿权范围内探明资源量64.2万吨、控制资源量87.6万吨、推断资源量85.2万吨，合计237.0万吨；现探矿权外原探矿权内推断资源量79.5万吨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其他</w:t>
            </w:r>
          </w:p>
        </w:tc>
        <w:tc>
          <w:tcPr>
            <w:tcW w:w="8274" w:type="dxa"/>
            <w:noWrap w:val="0"/>
            <w:vAlign w:val="top"/>
          </w:tcPr>
          <w:p>
            <w:pPr>
              <w:pStyle w:val="2"/>
              <w:spacing w:line="360" w:lineRule="auto"/>
              <w:ind w:left="0" w:leftChars="0" w:firstLine="420" w:firstLineChars="200"/>
              <w:jc w:val="both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  <w:t>经调查核实，在拟建项目影响区范围内存在7处矿产地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2"/>
                <w:lang w:val="en-US" w:eastAsia="zh-CN" w:bidi="ar-SA"/>
              </w:rPr>
              <w:t>（达县井田（煤炭）、宣汉县炉厂坪井田（煤炭）、大竹县城西井田（煤炭）、渠县龙门峡北井田（煤炭）、大竹县立竹寺井田（煤炭）、四川省大竹县龙门峡煤矿、达县斌郎井田（煤炭））；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  <w:t>10宗采矿权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2"/>
                <w:lang w:val="en-US" w:eastAsia="zh-CN" w:bidi="ar-SA"/>
              </w:rPr>
              <w:t>（四川达竹煤电（集团）有限责任公司斌郎煤矿、大竹县红旗煤业有限责任公司（城西煤矿）、大竹县大硐坪煤矿、大竹县清水大河沟煤矿、渠县通达琅琊煤业有限公司琅琊煤矿、宣汉县勇平矿业有限公司勇平煤矿、宣汉县樊哙金花煤业有限公司金花煤矿、四川省煤炭产业集团有限责任公司龙门峡北煤矿、四川达竹煤电（集团）有限责任公司（小河嘴煤矿）、达州市达县七里沟煤矿）；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  <w:t>7宗探矿权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2"/>
                <w:lang w:val="en-US" w:eastAsia="zh-CN" w:bidi="ar-SA"/>
              </w:rPr>
              <w:t>（四川省大竹县仰天窝锶矿详查、四川省达川区、宣汉县通川区亭子铺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kern w:val="2"/>
                <w:sz w:val="21"/>
                <w:szCs w:val="22"/>
                <w:lang w:val="en-US" w:eastAsia="zh-CN" w:bidi="ar-SA"/>
              </w:rPr>
              <w:t>钾盐矿普查、四川省达川区斌郎井田斌郎煤矿延深勘探、四川省广安市广安区大龙钾盐矿普查、四川省宣汉县炉厂坪井田炉坪煤矿（延深）详查、四川省宣汉县巴山大峡谷地热（热矿水）普查、四川省大竹县地热详查（医疗热矿水水源评价））；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  <w:t>1个省地勘基金项目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2"/>
                <w:lang w:val="en-US" w:eastAsia="zh-CN" w:bidi="ar-SA"/>
              </w:rPr>
              <w:t>（四川省宣汉县添子城复背斜南西翼煤炭普查项目）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  <w:t>。</w:t>
            </w:r>
          </w:p>
        </w:tc>
      </w:tr>
    </w:tbl>
    <w:p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555797"/>
    <w:rsid w:val="00324482"/>
    <w:rsid w:val="004A0047"/>
    <w:rsid w:val="01D24C09"/>
    <w:rsid w:val="04760C83"/>
    <w:rsid w:val="052C6F98"/>
    <w:rsid w:val="073C399C"/>
    <w:rsid w:val="0BBD181D"/>
    <w:rsid w:val="0E741BC0"/>
    <w:rsid w:val="0F5D3253"/>
    <w:rsid w:val="12C34231"/>
    <w:rsid w:val="160C13C3"/>
    <w:rsid w:val="1B8732E9"/>
    <w:rsid w:val="26031705"/>
    <w:rsid w:val="286C60A7"/>
    <w:rsid w:val="292C33BF"/>
    <w:rsid w:val="2B6B282B"/>
    <w:rsid w:val="2B7E329E"/>
    <w:rsid w:val="2E747222"/>
    <w:rsid w:val="308402F0"/>
    <w:rsid w:val="32917387"/>
    <w:rsid w:val="33276533"/>
    <w:rsid w:val="341C4CF9"/>
    <w:rsid w:val="38132FE9"/>
    <w:rsid w:val="38820B69"/>
    <w:rsid w:val="38887253"/>
    <w:rsid w:val="3B076E4B"/>
    <w:rsid w:val="3C07147C"/>
    <w:rsid w:val="3C1328AE"/>
    <w:rsid w:val="3CA36CA8"/>
    <w:rsid w:val="3DB50464"/>
    <w:rsid w:val="3E13386B"/>
    <w:rsid w:val="406F07AD"/>
    <w:rsid w:val="42531B7C"/>
    <w:rsid w:val="437E6621"/>
    <w:rsid w:val="48C77C26"/>
    <w:rsid w:val="49991828"/>
    <w:rsid w:val="4D970B37"/>
    <w:rsid w:val="4EAE64BF"/>
    <w:rsid w:val="4F912937"/>
    <w:rsid w:val="51EC759B"/>
    <w:rsid w:val="53C9489D"/>
    <w:rsid w:val="53F430D0"/>
    <w:rsid w:val="5483718F"/>
    <w:rsid w:val="54B243EB"/>
    <w:rsid w:val="56680AAE"/>
    <w:rsid w:val="57B73C80"/>
    <w:rsid w:val="5BE91C11"/>
    <w:rsid w:val="5C694CE3"/>
    <w:rsid w:val="5D21706A"/>
    <w:rsid w:val="5E200B57"/>
    <w:rsid w:val="5FEB64D6"/>
    <w:rsid w:val="60716DEE"/>
    <w:rsid w:val="62621A7B"/>
    <w:rsid w:val="62FA7748"/>
    <w:rsid w:val="63C615CF"/>
    <w:rsid w:val="669D5621"/>
    <w:rsid w:val="67F76100"/>
    <w:rsid w:val="699D154D"/>
    <w:rsid w:val="6B592915"/>
    <w:rsid w:val="6D165A8C"/>
    <w:rsid w:val="6D242065"/>
    <w:rsid w:val="6E232CDC"/>
    <w:rsid w:val="70555797"/>
    <w:rsid w:val="70897467"/>
    <w:rsid w:val="73AF3A03"/>
    <w:rsid w:val="743E4454"/>
    <w:rsid w:val="75F21F62"/>
    <w:rsid w:val="76604EA1"/>
    <w:rsid w:val="77587FBA"/>
    <w:rsid w:val="79FE3C3B"/>
    <w:rsid w:val="7C4611B3"/>
    <w:rsid w:val="7C525C29"/>
    <w:rsid w:val="7DF7A45B"/>
    <w:rsid w:val="7EBE43BD"/>
    <w:rsid w:val="7FDC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eastAsia" w:ascii="宋体" w:hAnsi="宋体" w:eastAsia="宋体" w:cs="宋体"/>
      <w:kern w:val="2"/>
      <w:sz w:val="28"/>
      <w:szCs w:val="28"/>
      <w:lang w:val="en-US" w:eastAsia="zh-CN" w:bidi="ar"/>
    </w:rPr>
  </w:style>
  <w:style w:type="paragraph" w:styleId="3">
    <w:name w:val="index 5"/>
    <w:basedOn w:val="1"/>
    <w:next w:val="1"/>
    <w:qFormat/>
    <w:uiPriority w:val="0"/>
    <w:pPr>
      <w:ind w:left="800" w:leftChars="800"/>
    </w:pPr>
  </w:style>
  <w:style w:type="paragraph" w:styleId="4">
    <w:name w:val="Document Map"/>
    <w:basedOn w:val="1"/>
    <w:qFormat/>
    <w:uiPriority w:val="0"/>
    <w:rPr>
      <w:rFonts w:ascii="宋体"/>
      <w:sz w:val="18"/>
      <w:szCs w:val="18"/>
    </w:rPr>
  </w:style>
  <w:style w:type="paragraph" w:styleId="5">
    <w:name w:val="Body Text Indent"/>
    <w:basedOn w:val="1"/>
    <w:qFormat/>
    <w:uiPriority w:val="0"/>
    <w:pPr>
      <w:ind w:firstLine="538" w:firstLineChars="192"/>
    </w:pPr>
    <w:rPr>
      <w:rFonts w:ascii="宋体" w:hAnsi="宋体"/>
      <w:sz w:val="28"/>
    </w:rPr>
  </w:style>
  <w:style w:type="paragraph" w:styleId="6">
    <w:name w:val="Plain Text"/>
    <w:basedOn w:val="1"/>
    <w:next w:val="3"/>
    <w:qFormat/>
    <w:uiPriority w:val="0"/>
    <w:rPr>
      <w:rFonts w:ascii="宋体" w:hAnsi="Courier New"/>
    </w:rPr>
  </w:style>
  <w:style w:type="paragraph" w:styleId="7">
    <w:name w:val="Normal (Web)"/>
    <w:basedOn w:val="1"/>
    <w:qFormat/>
    <w:uiPriority w:val="0"/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fontstyle01"/>
    <w:qFormat/>
    <w:uiPriority w:val="0"/>
    <w:rPr>
      <w:rFonts w:hint="eastAsia" w:ascii="仿宋_GB2312" w:eastAsia="仿宋_GB2312"/>
      <w:color w:val="000000"/>
      <w:sz w:val="24"/>
      <w:szCs w:val="24"/>
    </w:rPr>
  </w:style>
  <w:style w:type="character" w:customStyle="1" w:styleId="12">
    <w:name w:val="font71"/>
    <w:basedOn w:val="10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3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4">
    <w:name w:val="font41"/>
    <w:basedOn w:val="10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  <w:vertAlign w:val="subscript"/>
    </w:rPr>
  </w:style>
  <w:style w:type="character" w:customStyle="1" w:styleId="15">
    <w:name w:val="font01"/>
    <w:basedOn w:val="10"/>
    <w:qFormat/>
    <w:uiPriority w:val="0"/>
    <w:rPr>
      <w:rFonts w:ascii="仿宋_GB2312" w:eastAsia="仿宋_GB2312" w:cs="仿宋_GB2312"/>
      <w:color w:val="000000"/>
      <w:sz w:val="18"/>
      <w:szCs w:val="18"/>
      <w:u w:val="none"/>
    </w:rPr>
  </w:style>
  <w:style w:type="character" w:customStyle="1" w:styleId="16">
    <w:name w:val="font31"/>
    <w:basedOn w:val="10"/>
    <w:qFormat/>
    <w:uiPriority w:val="0"/>
    <w:rPr>
      <w:rFonts w:hint="eastAsia" w:ascii="仿宋" w:hAnsi="仿宋" w:eastAsia="仿宋" w:cs="仿宋"/>
      <w:color w:val="FF0000"/>
      <w:sz w:val="18"/>
      <w:szCs w:val="18"/>
      <w:u w:val="none"/>
    </w:rPr>
  </w:style>
  <w:style w:type="character" w:customStyle="1" w:styleId="17">
    <w:name w:val="font61"/>
    <w:basedOn w:val="10"/>
    <w:qFormat/>
    <w:uiPriority w:val="0"/>
    <w:rPr>
      <w:rFonts w:hint="eastAsia" w:ascii="仿宋" w:hAnsi="仿宋" w:eastAsia="仿宋" w:cs="仿宋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2022-01-17T09:14:00Z</dcterms:created>
  <dc:creator>雁过留声</dc:creator>
  <cp:lastModifiedBy>袁珊</cp:lastModifiedBy>
  <cp:lastPrinted>2022-01-19T08:42:00Z</cp:lastPrinted>
  <dcterms:modified xsi:type="dcterms:W3CDTF">2023-02-24T09:39:37Z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